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Web"/>
        <w:jc w:val="center"/>
        <w:rPr>
          <w:b/>
          <w:u w:val="single"/>
          <w:color w:val="000000"/>
          <w:rFonts w:ascii="Arial" w:hAnsi="Arial"/>
          <w:sz w:val="20"/>
          <w:szCs w:val="20"/>
        </w:rPr>
      </w:pPr>
      <w:r>
        <w:rPr>
          <w:b/>
          <w:u w:val="single"/>
          <w:color w:val="000000"/>
          <w:rFonts w:ascii="Arial" w:hAnsi="Arial"/>
          <w:sz w:val="20"/>
          <w:szCs w:val="20"/>
        </w:rPr>
        <w:t>Trial Checklist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Grid"/>
        <w:tblLook w:val="1E0"/>
        <w:tblW w:w="0" w:type="auto"/>
      </w:tblPr>
      <w:tblGrid>
        <w:gridCol w:w="918"/>
        <w:gridCol w:w="9378"/>
      </w:tblGrid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Trial has been approved by NARA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Brevet certificates and scoresheets have been received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/>
                <w:sz w:val="20"/>
              </w:rPr>
              <w:t>Download Electronic Scoresheets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Download Decoy assessment sheets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/>
                <w:sz w:val="20"/>
              </w:rPr>
              <w:t>Notify if a Decoy Selection is being held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Decoy selection forms (if having decoy selection)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Field is regulation size, fenced, with two entrances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12 cones with 4 different colors are available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Jumps are in good shape and meet specifications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6 blinds are on the field to hide the decoy, plus one blind off the field for search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Water bucket should be placed in the off-field blind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Water bucket should be made available off the field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Regulation basket is available for Ring III object guard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  <w:rPr>
                <w:color w:val="000000"/>
                <w:rFonts w:ascii="Arial" w:hAnsi="Arial"/>
                <w:sz w:val="20"/>
                <w:szCs w:val="20"/>
              </w:rPr>
            </w:pPr>
            <w:r>
              <w:rPr>
                <w:color w:val="000000"/>
                <w:rFonts w:ascii="Arial" w:hAnsi="Arial"/>
                <w:sz w:val="20"/>
                <w:szCs w:val="20"/>
              </w:rPr>
              <w:t>Food for food refusal:</w:t>
            </w:r>
          </w:p>
          <w:p>
            <w:pPr>
              <w:pStyle w:val="NormalWeb"/>
              <w:numPr>
                <w:ilvl w:val="0"/>
                <w:numId w:val="1625773417"/>
              </w:numPr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6 pieces to bait the field in Ring II, III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 ; 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>4 pieces to be thrown for Ring I – III (meat, cheese – more meat than cheese, no bones)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; 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>1 piece to be thrown for Brevet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Trial Helpers Determined for each level:</w:t>
            </w:r>
          </w:p>
          <w:p>
            <w:pPr>
              <w:pStyle w:val="NormalWeb"/>
              <w:numPr>
                <w:ilvl w:val="0"/>
                <w:numId w:val="942151237"/>
              </w:numPr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Deputy Judge</w:t>
            </w:r>
          </w:p>
          <w:p>
            <w:pPr>
              <w:pStyle w:val="NormalWeb"/>
              <w:numPr>
                <w:ilvl w:val="0"/>
                <w:numId w:val="942151237"/>
              </w:numPr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Jumps</w:t>
            </w:r>
          </w:p>
          <w:p>
            <w:pPr>
              <w:pStyle w:val="NormalWeb"/>
              <w:numPr>
                <w:ilvl w:val="0"/>
                <w:numId w:val="942151237"/>
              </w:numPr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Sticks/Guns</w:t>
            </w:r>
          </w:p>
          <w:p>
            <w:pPr>
              <w:pStyle w:val="NormalWeb"/>
              <w:numPr>
                <w:ilvl w:val="0"/>
                <w:numId w:val="942151237"/>
              </w:numPr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Food Refusal</w:t>
            </w:r>
          </w:p>
          <w:p>
            <w:pPr>
              <w:pStyle w:val="NormalWeb"/>
              <w:numPr>
                <w:ilvl w:val="0"/>
                <w:numId w:val="942151237"/>
              </w:numPr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Trial Secretary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Have enough batons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Have 2 revolvers with sufficient blanks</w:t>
            </w:r>
          </w:p>
          <w:p>
            <w:pPr>
              <w:pStyle w:val="NormalWeb"/>
              <w:numPr>
                <w:ilvl w:val="0"/>
                <w:numId w:val="942151237"/>
              </w:numPr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need 2 blanks for each brevet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>need 3 blanks for each ring 1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need 5 blanks for 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>each ring 2 and ring 3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Table for secretary and judge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Pens, paper, clipboards for judge, deputy judge, secretary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Place to conceal decoys away from the field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Have lime, chalk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 or paint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 to 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>line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 the field (this will take approximately 1 hour and will be done with the judge – ensure you have allotted enough time to do this!)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Have dogs available for dog in white for each level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Have at least 6 dogs entered in the trial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Have a PA system available for announcing 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>scores for each exercise</w:t>
            </w:r>
          </w:p>
        </w:tc>
      </w:tr>
      <w:tr>
        <w:trPr>
          <w:trHeight w:val="144" w:hRule="atLeast"/>
        </w:trPr>
        <w:tc>
          <w:tcPr>
            <w:vAlign w:val="top"/>
            <w:tcW w:w="918" w:type="dxa"/>
          </w:tcPr>
          <w:p>
            <w:pPr>
              <w:pStyle w:val="NormalWeb"/>
            </w:pPr>
          </w:p>
        </w:tc>
        <w:tc>
          <w:tcPr>
            <w:vAlign w:val="top"/>
            <w:tcW w:w="9378" w:type="dxa"/>
          </w:tcPr>
          <w:p>
            <w:pPr>
              <w:pStyle w:val="NormalWeb"/>
              <w:spacing w:before="0" w:after="0"/>
            </w:pPr>
            <w:r>
              <w:rPr>
                <w:color w:val="000000"/>
                <w:rFonts w:ascii="Arial" w:hAnsi="Arial"/>
                <w:sz w:val="20"/>
                <w:szCs w:val="20"/>
              </w:rPr>
              <w:t>Have someone available to translate for the judge if necessary</w:t>
            </w:r>
          </w:p>
        </w:tc>
      </w:tr>
    </w:tbl>
    <w:p>
      <w:pPr>
        <w:pStyle w:val="NormalWeb"/>
        <w:rPr>
          <w:color w:val="000000"/>
          <w:rFonts w:ascii="Arial" w:hAnsi="Arial"/>
          <w:sz w:val="20"/>
          <w:szCs w:val="20"/>
        </w:rPr>
      </w:pPr>
    </w:p>
    <w:p>
      <w:pPr>
        <w:pStyle w:val="NormalWeb"/>
        <w:rPr>
          <w:color w:val="000000"/>
          <w:rFonts w:ascii="Arial" w:hAnsi="Arial"/>
          <w:sz w:val="20"/>
          <w:szCs w:val="20"/>
        </w:rPr>
      </w:pPr>
    </w:p>
    <w:sectPr>
      <w:pgSz w:w="12240" w:h="15840"/>
      <w:pgMar w:left="1080" w:right="108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Book Antiqua"/>
  <w:font w:name="Courier New"/>
  <w:font w:name="Wingdings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2151237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79058220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625773417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942151237">
    <w:abstractNumId w:val="942151237"/>
  </w:num>
  <w:num w:numId="1079058220">
    <w:abstractNumId w:val="1079058220"/>
  </w:num>
  <w:num w:numId="1625773417">
    <w:abstractNumId w:val="1625773417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Book Antiqua" w:hAnsi="Book Antiqua"/>
      <w:sz w:val="22"/>
    </w:rPr>
  </w:style>
  <w:style w:type="paragraph" w:styleId="Heading1">
    <w:name w:val="Heading 1"/>
    <w:qFormat/>
    <w:basedOn w:val="Normal"/>
    <w:pPr>
      <w:spacing w:before="240" w:after="60"/>
    </w:pPr>
    <w:rPr>
      <w:b/>
      <w:rFonts w:ascii="Book Antiqua" w:hAnsi="Book Antiqua"/>
      <w:sz w:val="28"/>
    </w:rPr>
  </w:style>
  <w:style w:type="paragraph" w:styleId="Heading2">
    <w:name w:val="Heading 2"/>
    <w:qFormat/>
    <w:basedOn w:val="Normal"/>
    <w:pPr>
      <w:spacing w:before="240" w:after="60"/>
    </w:pPr>
    <w:rPr>
      <w:b/>
      <w:i/>
      <w:rFonts w:ascii="Book Antiqua" w:hAnsi="Book Antiqua"/>
      <w:sz w:val="24"/>
    </w:rPr>
  </w:style>
  <w:style w:type="paragraph" w:styleId="Heading3">
    <w:name w:val="Heading 3"/>
    <w:qFormat/>
    <w:basedOn w:val="Normal"/>
    <w:pPr>
      <w:spacing w:before="240" w:after="60"/>
    </w:pPr>
    <w:rPr>
      <w:rFonts w:ascii="Book Antiqua" w:hAnsi="Book Antiqua"/>
      <w:sz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paragraph" w:styleId="ABLOCKPARA">
    <w:name w:val="A BLOCK PARA"/>
    <w:qFormat/>
    <w:basedOn w:val="Normal"/>
    <w:pPr/>
    <w:rPr>
      <w:rFonts w:ascii="Book Antiqua" w:hAnsi="Book Antiqua"/>
      <w:sz w:val="22"/>
    </w:rPr>
  </w:style>
  <w:style w:type="paragraph" w:styleId="ABULLET">
    <w:name w:val="A BULLET"/>
    <w:qFormat/>
    <w:basedOn w:val="ABLOCKPARA"/>
    <w:pPr>
      <w:ind w:left="331"/>
      <w:ind w:hanging="331"/>
    </w:pPr>
  </w:style>
  <w:style w:type="paragraph" w:styleId="AINDENTEDBULLET">
    <w:name w:val="A INDENTED BULLET"/>
    <w:qFormat/>
    <w:basedOn w:val="ABLOCKPARA"/>
    <w:pPr>
      <w:ind w:left="662"/>
      <w:ind w:hanging="331"/>
    </w:pPr>
  </w:style>
  <w:style w:type="paragraph" w:styleId="AINDENTEDPARA">
    <w:name w:val="A INDENTED PARA"/>
    <w:qFormat/>
    <w:basedOn w:val="ABLOCKPARA"/>
    <w:pPr>
      <w:ind w:left="331"/>
    </w:pPr>
  </w:style>
  <w:style w:type="paragraph" w:styleId="Footer">
    <w:name w:val="Footer"/>
    <w:qFormat/>
    <w:basedOn w:val="Normal"/>
    <w:pPr/>
  </w:style>
  <w:style w:type="paragraph" w:styleId="Header">
    <w:name w:val="Header"/>
    <w:qFormat/>
    <w:basedOn w:val="Normal"/>
    <w:pPr/>
  </w:style>
  <w:style w:type="paragraph" w:styleId="NormalWeb">
    <w:name w:val="Normal (Web)"/>
    <w:qFormat/>
    <w:basedOn w:val="Normal"/>
    <w:pPr>
      <w:spacing w:before="0" w:after="0"/>
    </w:pPr>
    <w:rPr>
      <w:rFonts w:ascii="Times New Roman" w:hAnsi="Times New Roman"/>
      <w:sz w:val="24"/>
      <w:szCs w:val="24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